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Allgemeiner Vortext Busch-Jaeger Unterputz-Schaltermaterial</w:t>
      </w:r>
    </w:p>
    <w:bookmarkEnd w:id="0"/>
    <w:p w:rsidR="002054C2" w:rsidRDefault="002054C2" w:rsidP="00A95278">
      <w:pPr>
        <w:ind w:left="1134"/>
      </w:pP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Sämtliche Installationsgeräte sind zu liefern, montieren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und betriebsfertig anzuschließen inkl. Klemmarbeiten.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Erforderliches Kleinmaterial und Leistungen wie z.B.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Geräte- Einbaudosen, Hohlwanddosen,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Befestigungsschrauben, Kanaleinführung, Beschriftung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etc. sind in die Einheitspreise der Installationsgeräte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einzurechnen. Das Installationsmaterial ist komplett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mit allem erforderlichen Systemzubehör eingebaut im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Baukörper und Leitungsanschluss, funktionsfertig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anzubieten. Installationsgeräte sind mit Schrauben an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der Gerätedose zu befestigen. SCHUKO-Steckdosen sind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mit Isolierstoffeinbaudose und Klemmen zur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Durchgangsverdrahtung zu liefern.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Als Schalter-, Anschluss- und Abzweigdosen sind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Kunststoffdosen mit Befestigungsschrauben zu verwenden.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Die Montagehöhe für Schalter und Steckdosen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beträgt, falls in den Ausführungszeichnungen nicht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anders vermerkt, über OKFFB: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Steckdosen</w:t>
      </w:r>
      <w:r w:rsidRPr="00A95278">
        <w:rPr>
          <w:rFonts w:ascii="Arial" w:hAnsi="Arial" w:cs="Arial"/>
          <w:color w:val="000000"/>
          <w:sz w:val="16"/>
          <w:szCs w:val="16"/>
        </w:rPr>
        <w:tab/>
      </w:r>
      <w:r w:rsidRPr="00A95278">
        <w:rPr>
          <w:rFonts w:ascii="Arial" w:hAnsi="Arial" w:cs="Arial"/>
          <w:color w:val="000000"/>
          <w:sz w:val="16"/>
          <w:szCs w:val="16"/>
        </w:rPr>
        <w:tab/>
        <w:t xml:space="preserve">0,30 m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Schalter und Taster</w:t>
      </w:r>
      <w:r w:rsidRPr="00A95278">
        <w:rPr>
          <w:rFonts w:ascii="Arial" w:hAnsi="Arial" w:cs="Arial"/>
          <w:color w:val="000000"/>
          <w:sz w:val="16"/>
          <w:szCs w:val="16"/>
        </w:rPr>
        <w:tab/>
        <w:t xml:space="preserve">1,05 m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Der betriebsfertige Anschluss aller Geräte versteht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sich einschl. Zulieferung der evtl. erforderlichen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Einführungsmaterialien und aller sonstigen Klein- und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Kabelmaterialien. Es dürfen nur solche Schalter und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Taster installiert werden, die aus Gründen der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allgemeinen Sicherheit bei entfernter Abdeckung in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eingebautem Zustand, gem. DIN VDE 0620/05.92, von vorn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berührungssicher sind, Anordnung des Leiteranschluss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Schalter /Taster von hinten, somit können UP-Einsätze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und SELV- Einheiten in Mehrfachkombination installiert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werden.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Die blauen Installationsgeräte wie Schalter oder Taster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sind zum </w:t>
      </w:r>
      <w:proofErr w:type="spellStart"/>
      <w:r w:rsidRPr="00A95278">
        <w:rPr>
          <w:rFonts w:ascii="Arial" w:hAnsi="Arial" w:cs="Arial"/>
          <w:color w:val="000000"/>
          <w:sz w:val="16"/>
          <w:szCs w:val="16"/>
        </w:rPr>
        <w:t>zwecke</w:t>
      </w:r>
      <w:proofErr w:type="spellEnd"/>
      <w:r w:rsidRPr="00A95278">
        <w:rPr>
          <w:rFonts w:ascii="Arial" w:hAnsi="Arial" w:cs="Arial"/>
          <w:color w:val="000000"/>
          <w:sz w:val="16"/>
          <w:szCs w:val="16"/>
        </w:rPr>
        <w:t xml:space="preserve"> der Beleuchtung, z.B. gem.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Arbeitsstättenrichtlinie, mit Nullklemme ausgestattet.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Zu diesem Zwecke, werden die Beleuchtungseinsätze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mittig von hinten steckbar und von vorn reversierbar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eingesetzt. Die oben benannte Funktion kann durch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drehen des Einsatzes frei gewählt werden.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Sämtliche Schalter und Dosen sind bündig mit der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fertiggeputzten bzw. gefliesten Wand zu setzen. Bei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Sicht- und Verblendmauerwerk bzw. bei gefliesten Wänden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sind die Dosen nach Wunsch des AG z.B. im Fugenkreuz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anzuordnen.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Die nachfolgend aufgeführten Installationseinheiten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410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müssen, soweit nicht anders gefordert, folgende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Qualitätsansprüche erfüllen. Sollen andere als der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Planung zugrundeliegende Fabrikate eingesetzt werden, </w:t>
      </w:r>
    </w:p>
    <w:p w:rsidR="00A95278" w:rsidRPr="00A95278" w:rsidRDefault="00A95278" w:rsidP="00A95278">
      <w:pPr>
        <w:ind w:left="1134" w:right="283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 xml:space="preserve">ist der Nachweis der Gleichwertigkeit auf Grundlage aller                                                       geforderten Eigenschaften mit Abgabe des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Angebotes nachzuweisen.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A95278">
        <w:rPr>
          <w:rFonts w:ascii="Arial" w:hAnsi="Arial" w:cs="Arial"/>
          <w:color w:val="000000"/>
          <w:sz w:val="16"/>
          <w:szCs w:val="16"/>
        </w:rPr>
        <w:tab/>
        <w:t xml:space="preserve">Busch-Jaeger </w:t>
      </w:r>
    </w:p>
    <w:p w:rsidR="00A95278" w:rsidRPr="00A95278" w:rsidRDefault="00A95278" w:rsidP="00A95278">
      <w:pPr>
        <w:widowControl w:val="0"/>
        <w:autoSpaceDE w:val="0"/>
        <w:autoSpaceDN w:val="0"/>
        <w:adjustRightInd w:val="0"/>
        <w:spacing w:after="0" w:line="104" w:lineRule="atLeast"/>
        <w:ind w:left="1134" w:right="15"/>
        <w:rPr>
          <w:rFonts w:ascii="Arial" w:hAnsi="Arial" w:cs="Arial"/>
          <w:color w:val="000000"/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Typ:</w:t>
      </w:r>
      <w:r w:rsidRPr="00A95278">
        <w:rPr>
          <w:rFonts w:ascii="Arial" w:hAnsi="Arial" w:cs="Arial"/>
          <w:color w:val="000000"/>
          <w:sz w:val="16"/>
          <w:szCs w:val="16"/>
        </w:rPr>
        <w:tab/>
      </w:r>
      <w:r w:rsidRPr="00A95278">
        <w:rPr>
          <w:rFonts w:ascii="Arial" w:hAnsi="Arial" w:cs="Arial"/>
          <w:color w:val="000000"/>
          <w:sz w:val="16"/>
          <w:szCs w:val="16"/>
        </w:rPr>
        <w:tab/>
      </w:r>
      <w:r w:rsidRPr="00A95278">
        <w:rPr>
          <w:rFonts w:ascii="Arial" w:hAnsi="Arial" w:cs="Arial"/>
          <w:color w:val="000000"/>
          <w:sz w:val="16"/>
          <w:szCs w:val="16"/>
        </w:rPr>
        <w:tab/>
      </w:r>
      <w:r w:rsidRPr="00A95278">
        <w:rPr>
          <w:rFonts w:ascii="Arial" w:hAnsi="Arial" w:cs="Arial"/>
          <w:color w:val="000000"/>
          <w:sz w:val="16"/>
          <w:szCs w:val="16"/>
        </w:rPr>
        <w:tab/>
      </w:r>
    </w:p>
    <w:p w:rsidR="00A95278" w:rsidRPr="00A95278" w:rsidRDefault="00A95278" w:rsidP="00A95278">
      <w:pPr>
        <w:ind w:left="1134"/>
        <w:rPr>
          <w:sz w:val="16"/>
          <w:szCs w:val="16"/>
        </w:rPr>
      </w:pPr>
      <w:r w:rsidRPr="00A95278">
        <w:rPr>
          <w:rFonts w:ascii="Arial" w:hAnsi="Arial" w:cs="Arial"/>
          <w:color w:val="000000"/>
          <w:sz w:val="16"/>
          <w:szCs w:val="16"/>
        </w:rPr>
        <w:t>Farbe:</w:t>
      </w:r>
    </w:p>
    <w:sectPr w:rsidR="00A95278" w:rsidRPr="00A9527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76" w:rsidRDefault="002B0176" w:rsidP="00A95278">
      <w:pPr>
        <w:spacing w:after="0" w:line="240" w:lineRule="auto"/>
      </w:pPr>
      <w:r>
        <w:separator/>
      </w:r>
    </w:p>
  </w:endnote>
  <w:endnote w:type="continuationSeparator" w:id="0">
    <w:p w:rsidR="002B0176" w:rsidRDefault="002B0176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76" w:rsidRDefault="002B0176" w:rsidP="00A95278">
      <w:pPr>
        <w:spacing w:after="0" w:line="240" w:lineRule="auto"/>
      </w:pPr>
      <w:r>
        <w:separator/>
      </w:r>
    </w:p>
  </w:footnote>
  <w:footnote w:type="continuationSeparator" w:id="0">
    <w:p w:rsidR="002B0176" w:rsidRDefault="002B0176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C85" w:rsidRDefault="00AD2C85" w:rsidP="00AD2C85">
    <w:pPr>
      <w:pStyle w:val="Kopfzeile"/>
      <w:ind w:left="4962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fl_Wippe_weiss_matt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C85" w:rsidRDefault="00AD2C85" w:rsidP="00AD2C85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eck 1" o:spid="_x0000_s1026" alt="fl_Wippe_weiss_matt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g+UJ84CAADhBQAADgAAAAAAAAAAAAAAAAAuAgAAZHJzL2Uyb0RvYy54bWxQSwEC&#10;LQAUAAYACAAAACEATKDpLNgAAAADAQAADwAAAAAAAAAAAAAAAAAoBQAAZHJzL2Rvd25yZXYueG1s&#10;UEsFBgAAAAAEAAQA8wAAAC0GAAAAAA==&#10;" filled="f" stroked="f">
              <o:lock v:ext="edit" aspectratio="t"/>
              <v:textbox>
                <w:txbxContent>
                  <w:p w:rsidR="00AD2C85" w:rsidRDefault="00AD2C85" w:rsidP="00AD2C85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anchorlock/>
            </v:rect>
          </w:pict>
        </mc:Fallback>
      </mc:AlternateContent>
    </w:r>
    <w:r w:rsidRPr="00AD2C85">
      <w:drawing>
        <wp:inline distT="0" distB="0" distL="0" distR="0" wp14:anchorId="2EA33F7C" wp14:editId="4192462F">
          <wp:extent cx="683491" cy="688209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76" t="5750" r="6288" b="5104"/>
                  <a:stretch/>
                </pic:blipFill>
                <pic:spPr bwMode="auto">
                  <a:xfrm>
                    <a:off x="0" y="0"/>
                    <a:ext cx="721222" cy="72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Pr="00AD2C85">
      <w:drawing>
        <wp:inline distT="0" distB="0" distL="0" distR="0" wp14:anchorId="37372621" wp14:editId="7C4ED7A8">
          <wp:extent cx="673446" cy="673617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9628" t="11230" r="11230" b="9608"/>
                  <a:stretch/>
                </pic:blipFill>
                <pic:spPr bwMode="auto">
                  <a:xfrm>
                    <a:off x="0" y="0"/>
                    <a:ext cx="697228" cy="69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Pr="00AD2C85">
      <w:drawing>
        <wp:inline distT="0" distB="0" distL="0" distR="0" wp14:anchorId="39449598" wp14:editId="0450702B">
          <wp:extent cx="692004" cy="68753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108" t="4971" r="4936" b="3666"/>
                  <a:stretch/>
                </pic:blipFill>
                <pic:spPr bwMode="auto">
                  <a:xfrm>
                    <a:off x="0" y="0"/>
                    <a:ext cx="708908" cy="704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0CEC" w:rsidRDefault="00A80C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2054C2"/>
    <w:rsid w:val="002B0176"/>
    <w:rsid w:val="00A80CEC"/>
    <w:rsid w:val="00A95278"/>
    <w:rsid w:val="00AD2C85"/>
    <w:rsid w:val="00AE335E"/>
    <w:rsid w:val="00D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EA7E8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4</cp:revision>
  <cp:lastPrinted>2020-05-19T12:52:00Z</cp:lastPrinted>
  <dcterms:created xsi:type="dcterms:W3CDTF">2020-05-19T12:34:00Z</dcterms:created>
  <dcterms:modified xsi:type="dcterms:W3CDTF">2020-05-19T14:08:00Z</dcterms:modified>
</cp:coreProperties>
</file>